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Computer-Based Math Response Practice #3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Example: Solve the equation 8 + x=10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x= 2. I know because I tried 8 + 1 instead of x and it equaled 9, but 8+ 2 equaled 10.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Solve the equation: 9 - p = 2</w:t>
      </w: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Solve the equation: 10/?=2  (/ means divide)</w:t>
      </w: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Solve the equation: 10 x M= 110</w:t>
      </w: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Solve the equation: g + 11 = 21</w:t>
      </w:r>
      <w:r w:rsidRPr="00000000" w:rsidR="00000000" w:rsidDel="00000000">
        <w:rPr>
          <w:rtl w:val="0"/>
        </w:rPr>
      </w:r>
    </w:p>
    <w:tbl>
      <w:tblPr>
        <w:tblStyle w:val="Table5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Solve the equation: c - 15 = 15</w:t>
      </w:r>
      <w:r w:rsidRPr="00000000" w:rsidR="00000000" w:rsidDel="00000000">
        <w:rPr>
          <w:rtl w:val="0"/>
        </w:rPr>
      </w:r>
    </w:p>
    <w:tbl>
      <w:tblPr>
        <w:tblStyle w:val="Table6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Solve the equation: 4 x 3 = b</w:t>
      </w:r>
      <w:r w:rsidRPr="00000000" w:rsidR="00000000" w:rsidDel="00000000">
        <w:rPr>
          <w:rtl w:val="0"/>
        </w:rPr>
      </w:r>
    </w:p>
    <w:tbl>
      <w:tblPr>
        <w:tblStyle w:val="Table7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Extended Response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Deontae and Devontae went to the carnival. They decided to play a game to win a giant stuffed banana. To play, they had to pay $2 for three balls and try to knock down a target. If they have $10, how many balls can they buy?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Answer</w:t>
      </w:r>
      <w:r w:rsidRPr="00000000" w:rsidR="00000000" w:rsidDel="00000000">
        <w:rPr>
          <w:sz w:val="28"/>
          <w:rtl w:val="0"/>
        </w:rPr>
        <w:t xml:space="preserve">:</w:t>
      </w:r>
    </w:p>
    <w:tbl>
      <w:tblPr>
        <w:tblStyle w:val="Table8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080" w:right="108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8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Practice #3.docx</dc:title>
</cp:coreProperties>
</file>